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Consent to Use Ambient AI Scribe Technology During Your Visit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practice uses a secure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ambient AI scribe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tool to help your doctor focus 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you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not the computer. This technology listens passively during your visit and automatically generates a clinical note, allowing your physician to maintain eye contact and give you their full attention.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Privacy and Security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identifying data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are retained beyond your official medical chart entry.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AI scribe operates under strict HIPAA-compliant security measures.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system cannot be used outside the encounter, and all data are automatically purged after processing.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Your Rights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have the right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opt out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the AI scribe at any time.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Opting out will not affect the quality of your care. Your physician will simply document the visit manually.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may ask questions at any time about how this technology works or how your information is protected.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signing below, I voluntarily consent to the use of the ambient AI scribe technology during my encounter today.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Patient Name: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0x010100D759403698AC704FB6A68A470FD77BA7</vt:lpwstr>
  </property>
</Properties>
</file>